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C2" w:rsidRPr="005C03C2" w:rsidRDefault="005C03C2" w:rsidP="005C03C2">
      <w:pPr>
        <w:spacing w:after="120" w:line="288" w:lineRule="auto"/>
        <w:jc w:val="right"/>
        <w:rPr>
          <w:rFonts w:ascii="Arial" w:hAnsi="Arial"/>
          <w:sz w:val="20"/>
          <w:szCs w:val="20"/>
        </w:rPr>
      </w:pPr>
      <w:bookmarkStart w:id="0" w:name="_Hlk42680806"/>
      <w:bookmarkStart w:id="1" w:name="_Hlk42680829"/>
      <w:r w:rsidRPr="005C03C2">
        <w:rPr>
          <w:rFonts w:ascii="Arial" w:hAnsi="Arial"/>
          <w:noProof/>
          <w:sz w:val="20"/>
          <w:szCs w:val="20"/>
        </w:rPr>
        <w:drawing>
          <wp:inline distT="0" distB="0" distL="0" distR="0" wp14:anchorId="4BEFE84F" wp14:editId="4DAFFD09">
            <wp:extent cx="1252330" cy="704088"/>
            <wp:effectExtent l="0" t="0" r="5080" b="127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rown\Desktop\SPB\SPBLogo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30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C2" w:rsidRPr="005C03C2" w:rsidRDefault="005C03C2" w:rsidP="005C03C2">
      <w:pPr>
        <w:spacing w:after="80"/>
        <w:rPr>
          <w:rFonts w:ascii="Arial" w:hAnsi="Arial" w:cs="Arial"/>
          <w:b/>
          <w:sz w:val="36"/>
          <w:szCs w:val="36"/>
        </w:rPr>
      </w:pPr>
      <w:r w:rsidRPr="005C03C2">
        <w:rPr>
          <w:rFonts w:ascii="Arial" w:hAnsi="Arial" w:cs="Arial"/>
          <w:b/>
          <w:sz w:val="36"/>
          <w:szCs w:val="36"/>
        </w:rPr>
        <w:t>Orrick's Technology Companies Group</w:t>
      </w:r>
    </w:p>
    <w:p w:rsidR="005C03C2" w:rsidRPr="005C03C2" w:rsidRDefault="005C03C2" w:rsidP="005C03C2">
      <w:pPr>
        <w:spacing w:after="80"/>
        <w:rPr>
          <w:rFonts w:ascii="Arial" w:hAnsi="Arial" w:cs="Arial"/>
          <w:b/>
          <w:sz w:val="36"/>
          <w:szCs w:val="36"/>
        </w:rPr>
      </w:pPr>
      <w:r w:rsidRPr="005C03C2">
        <w:rPr>
          <w:rFonts w:ascii="Arial" w:hAnsi="Arial" w:cs="Arial"/>
          <w:b/>
          <w:sz w:val="36"/>
          <w:szCs w:val="36"/>
        </w:rPr>
        <w:t>Start-Up Forms Library</w:t>
      </w:r>
    </w:p>
    <w:p w:rsidR="005C03C2" w:rsidRPr="005C03C2" w:rsidRDefault="005C03C2" w:rsidP="005C03C2">
      <w:pPr>
        <w:spacing w:after="120"/>
        <w:rPr>
          <w:rFonts w:ascii="Arial" w:hAnsi="Arial" w:cs="Arial"/>
          <w:sz w:val="18"/>
          <w:szCs w:val="18"/>
        </w:rPr>
      </w:pPr>
      <w:r w:rsidRPr="005C03C2">
        <w:rPr>
          <w:rFonts w:ascii="Arial" w:hAnsi="Arial" w:cs="Arial"/>
          <w:sz w:val="18"/>
          <w:szCs w:val="18"/>
        </w:rPr>
        <w:t>The attached document is part of the Start-Up Forms Library provided by Orrick's Technology Companies Group.  By using/viewing the attached document, you agree to the Terms of Use Agreement for the Start-Up Forms Library, which can be viewed at:</w:t>
      </w:r>
    </w:p>
    <w:p w:rsidR="005C03C2" w:rsidRPr="005C03C2" w:rsidRDefault="005C03C2" w:rsidP="005C03C2">
      <w:pPr>
        <w:spacing w:after="120"/>
        <w:rPr>
          <w:rFonts w:ascii="Arial" w:hAnsi="Arial" w:cs="Arial"/>
          <w:sz w:val="18"/>
          <w:szCs w:val="18"/>
        </w:rPr>
      </w:pPr>
      <w:hyperlink r:id="rId8" w:history="1">
        <w:r w:rsidRPr="005C03C2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https://www.orrick.com/Total-Access/Tool-Kit/Start-Up-Forms/Terms-and-Conditions</w:t>
        </w:r>
      </w:hyperlink>
    </w:p>
    <w:p w:rsidR="005C03C2" w:rsidRPr="005C03C2" w:rsidRDefault="005C03C2" w:rsidP="005C03C2">
      <w:pPr>
        <w:rPr>
          <w:rFonts w:ascii="Arial" w:hAnsi="Arial" w:cs="Arial"/>
          <w:b/>
          <w:sz w:val="20"/>
        </w:rPr>
      </w:pPr>
      <w:r w:rsidRPr="005C03C2">
        <w:rPr>
          <w:rFonts w:ascii="Arial" w:hAnsi="Arial" w:cs="Arial"/>
          <w:b/>
          <w:sz w:val="20"/>
        </w:rPr>
        <w:t xml:space="preserve">Rev </w:t>
      </w:r>
      <w:bookmarkStart w:id="2" w:name="_GoBack"/>
      <w:bookmarkEnd w:id="2"/>
      <w:r w:rsidRPr="005C03C2">
        <w:rPr>
          <w:rFonts w:ascii="Arial" w:hAnsi="Arial" w:cs="Arial"/>
          <w:b/>
          <w:sz w:val="20"/>
        </w:rPr>
        <w:t>2/19</w:t>
      </w:r>
    </w:p>
    <w:p w:rsidR="005C03C2" w:rsidRPr="005C03C2" w:rsidRDefault="005C03C2" w:rsidP="005C03C2">
      <w:pPr>
        <w:spacing w:after="80" w:line="288" w:lineRule="auto"/>
        <w:rPr>
          <w:rFonts w:ascii="Arial" w:hAnsi="Arial"/>
          <w:sz w:val="18"/>
          <w:szCs w:val="18"/>
        </w:rPr>
      </w:pPr>
    </w:p>
    <w:bookmarkEnd w:id="0"/>
    <w:p w:rsidR="005C03C2" w:rsidRPr="005C03C2" w:rsidRDefault="005C03C2" w:rsidP="005C03C2">
      <w:pPr>
        <w:sectPr w:rsidR="005C03C2" w:rsidRPr="005C03C2">
          <w:footerReference w:type="even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  <w:formProt w:val="0"/>
          <w:titlePg/>
          <w:docGrid w:linePitch="360"/>
        </w:sectPr>
      </w:pPr>
    </w:p>
    <w:bookmarkEnd w:id="1"/>
    <w:p w:rsidR="00451913" w:rsidRDefault="005C03C2" w:rsidP="005C03C2">
      <w:pPr>
        <w:pStyle w:val="O-TITLECENTEREDB"/>
        <w:spacing w:after="0"/>
        <w:rPr>
          <w:u w:val="single"/>
        </w:rPr>
      </w:pPr>
      <w:r>
        <w:rPr>
          <w:noProof/>
        </w:rPr>
        <w:lastRenderedPageBreak/>
        <w:t xml:space="preserve"> </w:t>
      </w:r>
      <w:r w:rsidR="008A5F7C">
        <w:rPr>
          <w:noProof/>
        </w:rPr>
        <w:t>[</w:t>
      </w:r>
      <w:r w:rsidR="008A5F7C">
        <w:rPr>
          <w:noProof/>
        </w:rPr>
        <w:t>Company Name] [Stock Plan Name]</w:t>
      </w:r>
    </w:p>
    <w:p w:rsidR="00451913" w:rsidRDefault="008A5F7C">
      <w:pPr>
        <w:pStyle w:val="O-TITLECENTEREDB"/>
        <w:rPr>
          <w:b w:val="0"/>
          <w:smallCaps/>
        </w:rPr>
      </w:pPr>
      <w:r>
        <w:rPr>
          <w:smallCaps/>
        </w:rPr>
        <w:t>Summary of Key Provisions</w:t>
      </w:r>
    </w:p>
    <w:p w:rsidR="00451913" w:rsidRDefault="00451913">
      <w:pPr>
        <w:jc w:val="center"/>
        <w:rPr>
          <w:b/>
          <w:smallCaps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510"/>
        <w:gridCol w:w="6120"/>
      </w:tblGrid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i/>
              </w:rPr>
            </w:pPr>
            <w:r>
              <w:rPr>
                <w:b/>
                <w:i/>
              </w:rPr>
              <w:t>Share Reserve: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rPr>
                <w:noProof/>
              </w:rPr>
              <w:t xml:space="preserve">[__________] </w:t>
            </w:r>
            <w:r>
              <w:t>shares of common stock.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Eligibility: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 xml:space="preserve">Employees, consultants and advisors of the Company or any parent, subsidiary or affiliate of the Company; </w:t>
            </w:r>
            <w:proofErr w:type="gramStart"/>
            <w:r>
              <w:t>provided that</w:t>
            </w:r>
            <w:proofErr w:type="gramEnd"/>
            <w:r>
              <w:t xml:space="preserve"> </w:t>
            </w:r>
            <w:r>
              <w:t>incentive stock options (“ISOs”) may only be granted to employees or any parent or subsidiary.</w:t>
            </w:r>
          </w:p>
          <w:p w:rsidR="00451913" w:rsidRDefault="008A5F7C">
            <w:pPr>
              <w:pStyle w:val="O-BodyText"/>
            </w:pPr>
            <w:r>
              <w:t xml:space="preserve">Directors of the </w:t>
            </w:r>
            <w:proofErr w:type="gramStart"/>
            <w:r>
              <w:t>Company..</w:t>
            </w:r>
            <w:proofErr w:type="gramEnd"/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Types of Awards Authorized: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 xml:space="preserve">ISOs, </w:t>
            </w:r>
            <w:proofErr w:type="spellStart"/>
            <w:r>
              <w:t>nonstatutory</w:t>
            </w:r>
            <w:proofErr w:type="spellEnd"/>
            <w:r>
              <w:t xml:space="preserve"> stock options (“NSOs”), and restricted stock.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Exercise Price:</w:t>
            </w:r>
          </w:p>
        </w:tc>
        <w:tc>
          <w:tcPr>
            <w:tcW w:w="6120" w:type="dxa"/>
          </w:tcPr>
          <w:p w:rsidR="00451913" w:rsidRDefault="008A5F7C">
            <w:pPr>
              <w:rPr>
                <w:bCs/>
                <w:u w:val="single"/>
              </w:rPr>
            </w:pPr>
            <w:r>
              <w:rPr>
                <w:u w:val="single"/>
              </w:rPr>
              <w:t>ISOs</w:t>
            </w:r>
            <w:r>
              <w:t>:</w:t>
            </w:r>
          </w:p>
          <w:p w:rsidR="00451913" w:rsidRDefault="008A5F7C">
            <w:pPr>
              <w:pStyle w:val="O-BodyText"/>
            </w:pPr>
            <w:r>
              <w:t>100% of fair mark</w:t>
            </w:r>
            <w:r>
              <w:t>et value (110% of fair market value for 10% shareholders).</w:t>
            </w:r>
          </w:p>
          <w:p w:rsidR="00451913" w:rsidRDefault="008A5F7C">
            <w:pPr>
              <w:rPr>
                <w:bCs/>
                <w:u w:val="single"/>
              </w:rPr>
            </w:pPr>
            <w:r>
              <w:rPr>
                <w:u w:val="single"/>
              </w:rPr>
              <w:t>NSOs/Restricted Stock</w:t>
            </w:r>
            <w:r>
              <w:t>:</w:t>
            </w:r>
          </w:p>
          <w:p w:rsidR="00451913" w:rsidRDefault="008A5F7C">
            <w:pPr>
              <w:pStyle w:val="O-BodyText"/>
            </w:pPr>
            <w:r>
              <w:t>To be determined by the plan administrator.</w:t>
            </w:r>
          </w:p>
          <w:p w:rsidR="00451913" w:rsidRDefault="008A5F7C">
            <w:pPr>
              <w:keepNext/>
              <w:keepLines/>
              <w:spacing w:after="240"/>
              <w:ind w:left="360"/>
            </w:pPr>
            <w:r>
              <w:rPr>
                <w:i/>
              </w:rPr>
              <w:t xml:space="preserve">Note that, due to certain tax issues related to the treatment of awards as nonqualified deferred compensation, all options should </w:t>
            </w:r>
            <w:r>
              <w:rPr>
                <w:i/>
              </w:rPr>
              <w:t>be issued with an exercise price that is at least 100% of the fair market value unless discussed in advance with Orrick.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br w:type="page"/>
            </w:r>
            <w:r>
              <w:rPr>
                <w:b/>
                <w:i/>
              </w:rPr>
              <w:t>Vesting: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 xml:space="preserve">Vesting of all awards to be determined by the plan administrator on a grant-by-grant basis; typical vesting would be 25% </w:t>
            </w:r>
            <w:r>
              <w:t>of the shares subject to an award will vest on the 1-year anniversary of the date of grant, and 1/48th of the total number of shares subject to the award will vest on a monthly basis thereafter.</w:t>
            </w:r>
          </w:p>
          <w:p w:rsidR="00451913" w:rsidRDefault="008A5F7C">
            <w:pPr>
              <w:pStyle w:val="O-BodyText"/>
            </w:pPr>
            <w:r>
              <w:t>The plan administrator has discretion to suspend vesting duri</w:t>
            </w:r>
            <w:r>
              <w:t>ng a leave of absence.  Absent action by the plan administrator or to the extent otherwise required by law, vesting will be suspended during an unpaid leave of absence.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Exercisability: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Options:  Options generally become exercisable as the underlying share</w:t>
            </w:r>
            <w:r>
              <w:t>s vest.</w:t>
            </w:r>
          </w:p>
          <w:p w:rsidR="00451913" w:rsidRDefault="008A5F7C">
            <w:pPr>
              <w:pStyle w:val="O-BodyText"/>
            </w:pPr>
            <w:r>
              <w:t xml:space="preserve">Restricted Stock:  Shares are purchased and outstanding on the date of </w:t>
            </w:r>
            <w:proofErr w:type="gramStart"/>
            <w:r>
              <w:t>grant, but</w:t>
            </w:r>
            <w:proofErr w:type="gramEnd"/>
            <w:r>
              <w:t xml:space="preserve"> are subject to a right of repurchase by the Company until vested.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lastRenderedPageBreak/>
              <w:t>Forms of Payment: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Cash or check.</w:t>
            </w:r>
          </w:p>
          <w:p w:rsidR="00451913" w:rsidRDefault="008A5F7C">
            <w:pPr>
              <w:pStyle w:val="O-BodyText"/>
            </w:pPr>
            <w:r>
              <w:t>Cashless exercise (following an IPO).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M&amp;A Transactions: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Generally</w:t>
            </w:r>
            <w:r>
              <w:t>, if the acquiring corporation does not assume or cash out outstanding options, all outstanding options will terminate on the effective date of the change of control.</w:t>
            </w:r>
          </w:p>
          <w:p w:rsidR="00451913" w:rsidRDefault="008A5F7C">
            <w:pPr>
              <w:pStyle w:val="O-BodyText"/>
            </w:pPr>
            <w:r>
              <w:t>Individual award agreements may contain special vesting provisions.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Post-Termination Exe</w:t>
            </w:r>
            <w:r>
              <w:rPr>
                <w:b/>
                <w:i/>
              </w:rPr>
              <w:t>rcise Periods for Options: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An option must be exercised (to the extent that the option was vested and previously unexercised) within the following periods following a termination of service with the Company:</w:t>
            </w:r>
          </w:p>
          <w:p w:rsidR="00451913" w:rsidRDefault="008A5F7C">
            <w:pPr>
              <w:pStyle w:val="O-BodyText"/>
            </w:pPr>
            <w:r>
              <w:t>Generally</w:t>
            </w:r>
            <w:proofErr w:type="gramStart"/>
            <w:r>
              <w:t>:  [</w:t>
            </w:r>
            <w:proofErr w:type="gramEnd"/>
            <w:r>
              <w:t xml:space="preserve">3] month(s) (ISOs must </w:t>
            </w:r>
            <w:r>
              <w:rPr>
                <w:u w:val="single"/>
              </w:rPr>
              <w:t>in fact</w:t>
            </w:r>
            <w:r>
              <w:t xml:space="preserve"> be ex</w:t>
            </w:r>
            <w:r>
              <w:t>ercised within 3 months to retain ISO status)</w:t>
            </w:r>
          </w:p>
          <w:p w:rsidR="00451913" w:rsidRDefault="008A5F7C">
            <w:pPr>
              <w:pStyle w:val="O-BodyText"/>
            </w:pPr>
            <w:r>
              <w:t>Disability</w:t>
            </w:r>
            <w:proofErr w:type="gramStart"/>
            <w:r>
              <w:t>:  [</w:t>
            </w:r>
            <w:proofErr w:type="gramEnd"/>
            <w:r>
              <w:t>12] month(s).</w:t>
            </w:r>
          </w:p>
          <w:p w:rsidR="00451913" w:rsidRDefault="008A5F7C">
            <w:pPr>
              <w:pStyle w:val="O-BodyText"/>
            </w:pPr>
            <w:r>
              <w:t>Death</w:t>
            </w:r>
            <w:proofErr w:type="gramStart"/>
            <w:r>
              <w:t>:  [</w:t>
            </w:r>
            <w:proofErr w:type="gramEnd"/>
            <w:r>
              <w:t>12] month(s).</w:t>
            </w:r>
          </w:p>
          <w:p w:rsidR="00451913" w:rsidRDefault="008A5F7C">
            <w:pPr>
              <w:pStyle w:val="O-BodyText"/>
            </w:pPr>
            <w:r>
              <w:t>Cause:  Option expires immediately upon termination.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Term of Options: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rPr>
                <w:bCs/>
              </w:rPr>
              <w:t>10</w:t>
            </w:r>
            <w:r>
              <w:t xml:space="preserve"> years (5 years for ISOs granted to 10% shareholders).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Right of First Refusal: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Prior to an IPO, the Company has a right of first refusal on any proposed transfer of shares acquired pursuant to the plan.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Repurchase Rights: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Prior to an IPO, the Company may</w:t>
            </w:r>
            <w:r>
              <w:t xml:space="preserve"> repurchase any unvested shares acquired pursuant to the plan following a termination of service at the original purchase price of the shares.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Transferability of Options: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Generally, options are not transferable except by will or the laws of descent and di</w:t>
            </w:r>
            <w:r>
              <w:t>stribution.</w:t>
            </w:r>
          </w:p>
          <w:p w:rsidR="00451913" w:rsidRDefault="008A5F7C">
            <w:pPr>
              <w:pStyle w:val="O-BodyText"/>
            </w:pPr>
            <w:r>
              <w:t>The plan administrator may, in its discretion, permit participants to make limited transfers of NSOs.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rPr>
                <w:rFonts w:ascii="Times New Roman Bold" w:hAnsi="Times New Roman Bold"/>
                <w:b/>
                <w:smallCaps/>
              </w:rPr>
            </w:pPr>
            <w:r>
              <w:rPr>
                <w:rFonts w:ascii="Times New Roman Bold" w:hAnsi="Times New Roman Bold"/>
                <w:b/>
                <w:smallCaps/>
              </w:rPr>
              <w:t>[</w:t>
            </w:r>
            <w:r>
              <w:rPr>
                <w:b/>
                <w:i/>
                <w:szCs w:val="20"/>
              </w:rPr>
              <w:t>Transferability of Stock underlying Awards:</w:t>
            </w:r>
            <w:r>
              <w:rPr>
                <w:rFonts w:ascii="Times New Roman Bold" w:hAnsi="Times New Roman Bold"/>
                <w:b/>
                <w:smallCaps/>
              </w:rPr>
              <w:t>]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The stock underlying Awards cannot be transferred without Board approval.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rFonts w:ascii="Times New Roman Bold" w:hAnsi="Times New Roman Bold"/>
                <w:b/>
                <w:smallCaps/>
              </w:rPr>
            </w:pPr>
            <w:r>
              <w:rPr>
                <w:b/>
                <w:i/>
              </w:rPr>
              <w:t>Securities/Tax Law C</w:t>
            </w:r>
            <w:r>
              <w:rPr>
                <w:b/>
                <w:i/>
              </w:rPr>
              <w:t>ompliance: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State securities laws must be reviewed to ensure compliance in all states in which awards will be granted under the plan.</w:t>
            </w:r>
          </w:p>
          <w:p w:rsidR="00451913" w:rsidRDefault="008A5F7C">
            <w:pPr>
              <w:pStyle w:val="O-BodyText"/>
            </w:pPr>
            <w:r>
              <w:lastRenderedPageBreak/>
              <w:t>Local counsel must generally be consulted for awards made outside of the United States.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lastRenderedPageBreak/>
              <w:t>Effective Date: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[Date] (the date t</w:t>
            </w:r>
            <w:r>
              <w:t>he board will approve the plan).  Stockholder approval required within 12 months of Board approval.</w:t>
            </w:r>
          </w:p>
        </w:tc>
      </w:tr>
      <w:tr w:rsidR="00451913">
        <w:tc>
          <w:tcPr>
            <w:tcW w:w="3510" w:type="dxa"/>
          </w:tcPr>
          <w:p w:rsidR="00451913" w:rsidRDefault="008A5F7C">
            <w:pPr>
              <w:pStyle w:val="O-BodyText"/>
              <w:rPr>
                <w:b/>
                <w:smallCaps/>
              </w:rPr>
            </w:pPr>
            <w:r>
              <w:rPr>
                <w:b/>
                <w:i/>
              </w:rPr>
              <w:t>Stockholder Approval Date:</w:t>
            </w:r>
          </w:p>
        </w:tc>
        <w:tc>
          <w:tcPr>
            <w:tcW w:w="6120" w:type="dxa"/>
          </w:tcPr>
          <w:p w:rsidR="00451913" w:rsidRDefault="008A5F7C">
            <w:pPr>
              <w:pStyle w:val="O-BodyText"/>
            </w:pPr>
            <w:r>
              <w:t>[Date].</w:t>
            </w:r>
          </w:p>
        </w:tc>
      </w:tr>
    </w:tbl>
    <w:p w:rsidR="00451913" w:rsidRDefault="00451913">
      <w:pPr>
        <w:pStyle w:val="BodyText"/>
      </w:pPr>
    </w:p>
    <w:sectPr w:rsidR="00451913"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F7C" w:rsidRDefault="008A5F7C">
      <w:r>
        <w:separator/>
      </w:r>
    </w:p>
  </w:endnote>
  <w:endnote w:type="continuationSeparator" w:id="0">
    <w:p w:rsidR="008A5F7C" w:rsidRDefault="008A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C2" w:rsidRDefault="005C03C2">
    <w:pPr>
      <w:pStyle w:val="Footer"/>
    </w:pPr>
    <w:r>
      <w:rPr>
        <w:vanish/>
        <w:color w:val="FF0000"/>
      </w:rPr>
      <w:t>***No Trailer - DO NOT delete***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C2" w:rsidRDefault="005C03C2">
    <w:pPr>
      <w:pStyle w:val="Footer"/>
    </w:pPr>
    <w:r>
      <w:tab/>
      <w:t>-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2</w:t>
    </w:r>
    <w:r>
      <w:fldChar w:fldCharType="end"/>
    </w:r>
    <w:r>
      <w:t>-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913" w:rsidRDefault="008A5F7C">
    <w:pPr>
      <w:pStyle w:val="Footer"/>
    </w:pPr>
    <w:r>
      <w:rPr>
        <w:vanish/>
        <w:color w:val="FF0000"/>
      </w:rPr>
      <w:t>***No Trailer - DO NOT delete***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913" w:rsidRDefault="008A5F7C">
    <w:pPr>
      <w:pStyle w:val="Footer"/>
    </w:pPr>
    <w:r>
      <w:rPr>
        <w:rStyle w:val="zzmpTrailerItem"/>
      </w:rPr>
      <w:t xml:space="preserve">IWOVFOOTER1 </w:t>
    </w:r>
    <w:r>
      <w:tab/>
      <w:t>-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2</w:t>
    </w:r>
    <w:r>
      <w:fldChar w:fldCharType="end"/>
    </w:r>
    <w:r>
      <w:t>-</w: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913" w:rsidRDefault="008A5F7C">
    <w:pPr>
      <w:pStyle w:val="Footer"/>
      <w:rPr>
        <w:rStyle w:val="zzmpTrailerItem"/>
      </w:rPr>
    </w:pPr>
    <w:r>
      <w:rPr>
        <w:rStyle w:val="zzmpTrailerItem"/>
      </w:rPr>
      <w:t xml:space="preserve">IWOVFOOTER1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F7C" w:rsidRDefault="008A5F7C">
      <w:r>
        <w:separator/>
      </w:r>
    </w:p>
  </w:footnote>
  <w:footnote w:type="continuationSeparator" w:id="0">
    <w:p w:rsidR="008A5F7C" w:rsidRDefault="008A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08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D1447AD"/>
    <w:multiLevelType w:val="singleLevel"/>
    <w:tmpl w:val="F2542A62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B4"/>
    <w:rsid w:val="00345AB2"/>
    <w:rsid w:val="00451913"/>
    <w:rsid w:val="005C03C2"/>
    <w:rsid w:val="006A08B4"/>
    <w:rsid w:val="0076581C"/>
    <w:rsid w:val="008A5F7C"/>
    <w:rsid w:val="00A1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23BA4"/>
  <w14:defaultImageDpi w14:val="96"/>
  <w15:docId w15:val="{EF647557-DC85-4213-9895-B4271DAC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sinessSignature">
    <w:name w:val="Business Signature"/>
    <w:basedOn w:val="Normal"/>
    <w:uiPriority w:val="99"/>
    <w:pPr>
      <w:tabs>
        <w:tab w:val="left" w:pos="403"/>
        <w:tab w:val="right" w:pos="432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 w:bidi="ar-SA"/>
    </w:rPr>
  </w:style>
  <w:style w:type="paragraph" w:customStyle="1" w:styleId="O-BodyTextDS">
    <w:name w:val="O-Body Text (DS)"/>
    <w:aliases w:val="28"/>
    <w:basedOn w:val="Normal"/>
    <w:uiPriority w:val="99"/>
    <w:pPr>
      <w:spacing w:line="480" w:lineRule="auto"/>
    </w:pPr>
    <w:rPr>
      <w:szCs w:val="20"/>
    </w:rPr>
  </w:style>
  <w:style w:type="paragraph" w:customStyle="1" w:styleId="DeliveryPhrase">
    <w:name w:val="Delivery Phrase"/>
    <w:basedOn w:val="Normal"/>
    <w:next w:val="Normal"/>
    <w:uiPriority w:val="99"/>
    <w:pPr>
      <w:spacing w:after="240"/>
    </w:pPr>
    <w:rPr>
      <w:b/>
      <w:caps/>
      <w:szCs w:val="20"/>
    </w:rPr>
  </w:style>
  <w:style w:type="paragraph" w:customStyle="1" w:styleId="DocumentTitle">
    <w:name w:val="Document Title"/>
    <w:basedOn w:val="Normal"/>
    <w:next w:val="BodyText"/>
    <w:uiPriority w:val="99"/>
    <w:pPr>
      <w:spacing w:after="480"/>
      <w:jc w:val="center"/>
    </w:pPr>
    <w:rPr>
      <w:b/>
      <w:caps/>
    </w:rPr>
  </w:style>
  <w:style w:type="paragraph" w:customStyle="1" w:styleId="O-BodyText5">
    <w:name w:val="O-Body Text .5&quot;"/>
    <w:aliases w:val="S2"/>
    <w:basedOn w:val="Normal"/>
    <w:uiPriority w:val="99"/>
    <w:pPr>
      <w:spacing w:after="240"/>
      <w:ind w:firstLine="720"/>
    </w:pPr>
    <w:rPr>
      <w:szCs w:val="20"/>
    </w:rPr>
  </w:style>
  <w:style w:type="paragraph" w:styleId="BodyText">
    <w:name w:val="Body Text"/>
    <w:basedOn w:val="Normal"/>
    <w:link w:val="BodyTextChar"/>
    <w:uiPriority w:val="99"/>
    <w:pPr>
      <w:spacing w:after="240" w:line="480" w:lineRule="auto"/>
      <w:ind w:firstLine="14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O-BodyText1">
    <w:name w:val="O-Body Text 1&quot;"/>
    <w:aliases w:val="S3"/>
    <w:basedOn w:val="Normal"/>
    <w:uiPriority w:val="99"/>
    <w:pPr>
      <w:spacing w:after="240"/>
      <w:ind w:firstLine="1440"/>
    </w:pPr>
    <w:rPr>
      <w:szCs w:val="20"/>
    </w:rPr>
  </w:style>
  <w:style w:type="paragraph" w:customStyle="1" w:styleId="O-BodyText">
    <w:name w:val="O-Body Text"/>
    <w:aliases w:val="S1"/>
    <w:basedOn w:val="Normal"/>
    <w:uiPriority w:val="99"/>
    <w:pPr>
      <w:spacing w:after="240"/>
    </w:pPr>
    <w:rPr>
      <w:szCs w:val="20"/>
    </w:rPr>
  </w:style>
  <w:style w:type="paragraph" w:customStyle="1" w:styleId="O-Bullet">
    <w:name w:val="O-Bullet"/>
    <w:aliases w:val="S4"/>
    <w:basedOn w:val="Normal"/>
    <w:uiPriority w:val="99"/>
    <w:pPr>
      <w:numPr>
        <w:numId w:val="2"/>
      </w:numPr>
      <w:spacing w:after="240"/>
    </w:pPr>
    <w:rPr>
      <w:szCs w:val="20"/>
    </w:rPr>
  </w:style>
  <w:style w:type="paragraph" w:customStyle="1" w:styleId="O-Indent5">
    <w:name w:val="O-Indent .5&quot;"/>
    <w:aliases w:val="S5"/>
    <w:basedOn w:val="Normal"/>
    <w:uiPriority w:val="99"/>
    <w:pPr>
      <w:spacing w:after="240"/>
      <w:ind w:left="720"/>
    </w:pPr>
    <w:rPr>
      <w:szCs w:val="20"/>
    </w:rPr>
  </w:style>
  <w:style w:type="paragraph" w:customStyle="1" w:styleId="O-Indent1">
    <w:name w:val="O-Indent 1&quot;"/>
    <w:aliases w:val="S6"/>
    <w:basedOn w:val="Normal"/>
    <w:uiPriority w:val="99"/>
    <w:pPr>
      <w:spacing w:after="240"/>
      <w:ind w:left="1440"/>
    </w:pPr>
    <w:rPr>
      <w:szCs w:val="20"/>
    </w:rPr>
  </w:style>
  <w:style w:type="paragraph" w:customStyle="1" w:styleId="O-IndentedQuote">
    <w:name w:val="O-Indented Quote"/>
    <w:aliases w:val="S7"/>
    <w:basedOn w:val="Normal"/>
    <w:uiPriority w:val="99"/>
    <w:pPr>
      <w:spacing w:after="240"/>
      <w:ind w:left="1440" w:right="1440"/>
    </w:pPr>
    <w:rPr>
      <w:szCs w:val="20"/>
    </w:rPr>
  </w:style>
  <w:style w:type="paragraph" w:customStyle="1" w:styleId="O-Signature">
    <w:name w:val="O-Signature"/>
    <w:aliases w:val="S12"/>
    <w:basedOn w:val="Normal"/>
    <w:next w:val="Normal"/>
    <w:uiPriority w:val="99"/>
    <w:pPr>
      <w:keepNext/>
      <w:keepLines/>
      <w:spacing w:after="240"/>
      <w:ind w:left="5040"/>
    </w:pPr>
    <w:rPr>
      <w:szCs w:val="20"/>
    </w:rPr>
  </w:style>
  <w:style w:type="paragraph" w:customStyle="1" w:styleId="O-TITLECENTEREDB">
    <w:name w:val="O-TITLE CENTERED (B)"/>
    <w:aliases w:val="S10"/>
    <w:basedOn w:val="Normal"/>
    <w:next w:val="Normal"/>
    <w:uiPriority w:val="99"/>
    <w:pPr>
      <w:keepNext/>
      <w:keepLines/>
      <w:spacing w:after="240"/>
      <w:jc w:val="center"/>
    </w:pPr>
    <w:rPr>
      <w:rFonts w:hAnsi="Times New Roman Bold"/>
      <w:b/>
      <w:caps/>
      <w:szCs w:val="20"/>
    </w:rPr>
  </w:style>
  <w:style w:type="paragraph" w:customStyle="1" w:styleId="O-TITLECENTEREDU">
    <w:name w:val="O-TITLE CENTERED (U)"/>
    <w:aliases w:val="S8"/>
    <w:basedOn w:val="Normal"/>
    <w:next w:val="Normal"/>
    <w:uiPriority w:val="99"/>
    <w:pPr>
      <w:keepNext/>
      <w:keepLines/>
      <w:spacing w:after="240"/>
      <w:jc w:val="center"/>
    </w:pPr>
    <w:rPr>
      <w:caps/>
      <w:szCs w:val="20"/>
      <w:u w:val="single"/>
    </w:rPr>
  </w:style>
  <w:style w:type="paragraph" w:customStyle="1" w:styleId="O-TitleLeftBold">
    <w:name w:val="O-Title Left Bold"/>
    <w:aliases w:val="S11"/>
    <w:basedOn w:val="Normal"/>
    <w:next w:val="Normal"/>
    <w:uiPriority w:val="99"/>
    <w:pPr>
      <w:keepNext/>
      <w:keepLines/>
      <w:spacing w:after="240"/>
    </w:pPr>
    <w:rPr>
      <w:b/>
      <w:szCs w:val="20"/>
    </w:rPr>
  </w:style>
  <w:style w:type="paragraph" w:customStyle="1" w:styleId="O-TitleLeftUnderlined">
    <w:name w:val="O-Title Left Underlined"/>
    <w:aliases w:val="S9"/>
    <w:basedOn w:val="Normal"/>
    <w:next w:val="Normal"/>
    <w:uiPriority w:val="99"/>
    <w:pPr>
      <w:keepNext/>
      <w:keepLines/>
      <w:spacing w:after="240"/>
    </w:pPr>
    <w:rPr>
      <w:szCs w:val="20"/>
      <w:u w:val="single"/>
    </w:rPr>
  </w:style>
  <w:style w:type="paragraph" w:customStyle="1" w:styleId="O-TitleO-CtrBldULowerCaps">
    <w:name w:val="O-Title O-(Ctr) (Bld) (U) (Lower Caps)"/>
    <w:aliases w:val="s22"/>
    <w:basedOn w:val="Normal"/>
    <w:next w:val="Normal"/>
    <w:uiPriority w:val="99"/>
    <w:pPr>
      <w:keepNext/>
      <w:spacing w:after="240"/>
      <w:jc w:val="center"/>
    </w:pPr>
    <w:rPr>
      <w:b/>
      <w:bCs/>
      <w:szCs w:val="20"/>
      <w:u w:val="single"/>
    </w:rPr>
  </w:style>
  <w:style w:type="character" w:customStyle="1" w:styleId="zzmpTrailerItem">
    <w:name w:val="zzmpTrailerItem"/>
    <w:basedOn w:val="DefaultParagraphFont"/>
    <w:uiPriority w:val="99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rick.com/Total-Access/Tool-Kit/Start-Up-Forms/Terms-and-Conditions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HotDocs\hot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hotdocs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Stock Plan Summary</vt:lpstr>
    </vt:vector>
  </TitlesOfParts>
  <Manager>
  </Manager>
  <Company>
  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 Plan Summary</dc:title>
  <dc:subject>
  </dc:subject>
  <dc:creator>Mark Settle</dc:creator>
  <cp:keywords>
  </cp:keywords>
  <dc:description>
  </dc:description>
  <cp:lastModifiedBy>Porter, Scott M.</cp:lastModifiedBy>
  <cp:revision>2</cp:revision>
  <dcterms:created xsi:type="dcterms:W3CDTF">2020-06-10T18:40:00Z</dcterms:created>
  <dcterms:modified xsi:type="dcterms:W3CDTF">2020-06-10T18:40:00Z</dcterms:modified>
  <cp:category>
  </cp:category>
</cp:coreProperties>
</file>